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RONPA0430ZPB</w:t>
      </w:r>
      <w:r w:rsidDel="00000000" w:rsidR="00000000" w:rsidRPr="00000000">
        <w:rPr>
          <w:rtl w:val="0"/>
        </w:rPr>
      </w:r>
    </w:p>
    <w:p w:rsidR="00000000" w:rsidDel="00000000" w:rsidP="00000000" w:rsidRDefault="00000000" w:rsidRPr="00000000" w14:paraId="00000007">
      <w:pPr>
        <w:spacing w:after="0" w:lineRule="auto"/>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Locul fosilifer Berești</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protejată*65,49</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vAlign w:val="center"/>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vAlign w:val="center"/>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vAlign w:val="center"/>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vAlign w:val="center"/>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vAlign w:val="center"/>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 </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45,11</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63,32%</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45,11</w:t>
      </w: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Consiliului Județean Galați nr. 46/1994: RONPA0430 Locul fosilifer Berești.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RONPA0430 Locul fosilifer Berești.</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652.0" w:type="dxa"/>
        <w:jc w:val="left"/>
        <w:tblLayout w:type="fixed"/>
        <w:tblLook w:val="0000"/>
      </w:tblPr>
      <w:tblGrid>
        <w:gridCol w:w="4188"/>
        <w:gridCol w:w="4464"/>
        <w:tblGridChange w:id="0">
          <w:tblGrid>
            <w:gridCol w:w="4188"/>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0">
            <w:pPr>
              <w:spacing w:after="0" w:lineRule="auto"/>
              <w:jc w:val="both"/>
              <w:rPr>
                <w:i w:val="1"/>
                <w:iCs w:val="1"/>
              </w:rPr>
            </w:pPr>
            <w:r w:rsidDel="00000000" w:rsidR="00000000" w:rsidRPr="00000000">
              <w:rPr>
                <w:i w:val="1"/>
                <w:iCs w:val="1"/>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i w:val="1"/>
                <w:iCs w:val="1"/>
              </w:rPr>
            </w:pPr>
            <w:r w:rsidDel="00000000" w:rsidR="00000000" w:rsidRPr="00000000">
              <w:rPr>
                <w:b w:val="1"/>
                <w:bCs w:val="1"/>
                <w:sz w:val="22"/>
                <w:szCs w:val="22"/>
                <w:rtl w:val="0"/>
              </w:rPr>
              <w:t xml:space="preserve">Reptile:</w:t>
            </w:r>
            <w:r w:rsidDel="00000000" w:rsidR="00000000" w:rsidRPr="00000000">
              <w:rPr>
                <w:i w:val="1"/>
                <w:iCs w:val="1"/>
                <w:rtl w:val="0"/>
              </w:rPr>
              <w:br w:type="textWrapping"/>
            </w:r>
            <w:r w:rsidDel="00000000" w:rsidR="00000000" w:rsidRPr="00000000">
              <w:rPr>
                <w:i w:val="1"/>
                <w:iCs w:val="1"/>
                <w:sz w:val="22"/>
                <w:szCs w:val="22"/>
                <w:rtl w:val="0"/>
              </w:rPr>
              <w:t xml:space="preserve">1263 Lacerta viridis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Zonă de non intervenție pentru ecosistemele forestiere din tipul 1 funcțional și de management activ pentru celelalte, cu rezervație naturală, care cuprinde habitat de pădure temperată europeană, precum și specii de amfibieni și reptile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7">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8">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A">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2">
            <w:pPr>
              <w:jc w:val="both"/>
              <w:rPr>
                <w:b w:val="1"/>
                <w:b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2">
            <w:pPr>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jc w:val="both"/>
              <w:rPr>
                <w:b w:val="1"/>
                <w:bCs w:val="1"/>
                <w:sz w:val="22"/>
                <w:szCs w:val="22"/>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București</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Beldie, A. 1977. Ecologie forestieră: (cu elemente de ecologie generală). Ed. Ceres</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Donita N., Popescu A., Pauca-Comanescu M., Mihailescu S., Biris I. 2005. Habitatele din Romania”, Ed. Tehnica Silvica, București</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Mountford J.O. 2008. Manual de interpretare a habitatelor Natura 2000 din Romania, Ed. RISOPRINT, editor M.M.D.D. </w:t>
      </w:r>
    </w:p>
    <w:p w:rsidR="00000000" w:rsidDel="00000000" w:rsidP="00000000" w:rsidRDefault="00000000" w:rsidRPr="00000000" w14:paraId="000000B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 publice realizate: 11 martie 2025 - Galați, jud. Galați, 19 mai 2025 – corespondență DS Galați.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8 decembrie 2025, cu participarea factorilor interesați relevanți județului Galați.</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3">
      <w:pPr>
        <w:rPr>
          <w:sz w:val="22"/>
          <w:szCs w:val="22"/>
        </w:rPr>
      </w:pPr>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C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278.00000000000006"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ckRcpA0FGMLNcghz32o/Vmhm/g==">CgMxLjA4AHIhMWZsVHlSUnNhc3JNbDU1NER1T2c2MkVLVkxpQ3JGbl9h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